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10" w:rsidRPr="00376250" w:rsidRDefault="00232A34" w:rsidP="00232A34">
      <w:pPr>
        <w:jc w:val="center"/>
        <w:rPr>
          <w:b/>
          <w:sz w:val="36"/>
          <w:szCs w:val="36"/>
        </w:rPr>
      </w:pPr>
      <w:r w:rsidRPr="00376250">
        <w:rPr>
          <w:b/>
          <w:sz w:val="36"/>
          <w:szCs w:val="36"/>
        </w:rPr>
        <w:t xml:space="preserve">Staff Protocol for Working within </w:t>
      </w:r>
      <w:r w:rsidR="005524B8" w:rsidRPr="00376250">
        <w:rPr>
          <w:b/>
          <w:sz w:val="36"/>
          <w:szCs w:val="36"/>
        </w:rPr>
        <w:t xml:space="preserve">the </w:t>
      </w:r>
      <w:r w:rsidRPr="00376250">
        <w:rPr>
          <w:b/>
          <w:sz w:val="36"/>
          <w:szCs w:val="36"/>
        </w:rPr>
        <w:t>Designated Green Zones</w:t>
      </w:r>
    </w:p>
    <w:p w:rsidR="00330480" w:rsidRDefault="00330480"/>
    <w:p w:rsidR="00330480" w:rsidRDefault="00330480" w:rsidP="00D101E1">
      <w:pPr>
        <w:jc w:val="both"/>
      </w:pPr>
      <w:r>
        <w:t>The ‘Green Zones’ ha</w:t>
      </w:r>
      <w:r w:rsidR="00232A34">
        <w:t>ve</w:t>
      </w:r>
      <w:r>
        <w:t xml:space="preserve"> been developed within the UHB at </w:t>
      </w:r>
      <w:r w:rsidR="00232A34">
        <w:t>UHL</w:t>
      </w:r>
      <w:r>
        <w:t xml:space="preserve"> and UHW to enable the reintroduction of </w:t>
      </w:r>
      <w:r w:rsidR="00DC6455">
        <w:t xml:space="preserve">protective </w:t>
      </w:r>
      <w:r>
        <w:t xml:space="preserve">elective surgery for </w:t>
      </w:r>
      <w:r w:rsidR="00DC6455">
        <w:t xml:space="preserve">urgent </w:t>
      </w:r>
      <w:r>
        <w:t xml:space="preserve">patients. We </w:t>
      </w:r>
      <w:r w:rsidR="00232A34">
        <w:t xml:space="preserve">all </w:t>
      </w:r>
      <w:r>
        <w:t>have a crucial role in ensuring that the environment for our elective surgery patients are safe and Covid-19 free.</w:t>
      </w:r>
    </w:p>
    <w:p w:rsidR="00330480" w:rsidRDefault="00330480" w:rsidP="00D101E1">
      <w:pPr>
        <w:jc w:val="both"/>
      </w:pPr>
      <w:r>
        <w:t xml:space="preserve">The Green Zone at UHW will be located in </w:t>
      </w:r>
      <w:r w:rsidR="00DC6455" w:rsidRPr="00A01A34">
        <w:t>Theatres 0-</w:t>
      </w:r>
      <w:r w:rsidR="00A01A34" w:rsidRPr="00A01A34">
        <w:t>5</w:t>
      </w:r>
      <w:r w:rsidR="00DC6455" w:rsidRPr="00A01A34">
        <w:t xml:space="preserve">, </w:t>
      </w:r>
      <w:r w:rsidRPr="00A01A34">
        <w:t>Wards A2, A3 link</w:t>
      </w:r>
      <w:r w:rsidR="00DC6455" w:rsidRPr="00A01A34">
        <w:t xml:space="preserve"> (consisting of PACU and Recovery)</w:t>
      </w:r>
      <w:r w:rsidRPr="00A01A34">
        <w:t xml:space="preserve"> and SSSU and in UHL it will be </w:t>
      </w:r>
      <w:r w:rsidR="00A01A34" w:rsidRPr="00A01A34">
        <w:t>Main Theatres</w:t>
      </w:r>
      <w:r w:rsidR="00DC6455" w:rsidRPr="00A01A34">
        <w:t>, Critical Care, Bethan</w:t>
      </w:r>
      <w:r w:rsidR="007742C8">
        <w:t>, West 6</w:t>
      </w:r>
      <w:r w:rsidR="00DC6455" w:rsidRPr="00A01A34">
        <w:t xml:space="preserve"> and CAVOC.</w:t>
      </w:r>
      <w:r w:rsidR="00DC6455">
        <w:t xml:space="preserve"> </w:t>
      </w:r>
      <w:r>
        <w:t xml:space="preserve"> </w:t>
      </w:r>
      <w:r w:rsidR="00DC6455">
        <w:t xml:space="preserve">Each hospital </w:t>
      </w:r>
      <w:r>
        <w:t xml:space="preserve">will have their own </w:t>
      </w:r>
      <w:r w:rsidR="001B7886">
        <w:t xml:space="preserve">Green Zone </w:t>
      </w:r>
      <w:r>
        <w:t>entrance/exit into the hospital</w:t>
      </w:r>
      <w:r w:rsidR="00DC6455">
        <w:t xml:space="preserve"> for staff and patients</w:t>
      </w:r>
      <w:r>
        <w:t xml:space="preserve">. </w:t>
      </w:r>
      <w:r w:rsidR="00A01A34">
        <w:t>Work is underway to create staff rest spaces, changing rooms and showers.</w:t>
      </w:r>
    </w:p>
    <w:p w:rsidR="00D101E1" w:rsidRDefault="00D101E1" w:rsidP="00D101E1">
      <w:pPr>
        <w:jc w:val="both"/>
      </w:pPr>
      <w:r>
        <w:t xml:space="preserve">Staff who </w:t>
      </w:r>
      <w:r w:rsidR="001B7886">
        <w:t xml:space="preserve">will be based in the green zone </w:t>
      </w:r>
      <w:r>
        <w:t xml:space="preserve">will </w:t>
      </w:r>
      <w:r w:rsidR="00726D39">
        <w:t xml:space="preserve">remain </w:t>
      </w:r>
      <w:r>
        <w:t>in this location</w:t>
      </w:r>
      <w:r w:rsidR="007742C8">
        <w:t xml:space="preserve"> </w:t>
      </w:r>
      <w:r>
        <w:t xml:space="preserve">and </w:t>
      </w:r>
      <w:r w:rsidRPr="000266ED">
        <w:rPr>
          <w:b/>
          <w:u w:val="single"/>
        </w:rPr>
        <w:t>will not be permitted</w:t>
      </w:r>
      <w:r>
        <w:t xml:space="preserve"> to go to other areas of the hospital such as the </w:t>
      </w:r>
      <w:r w:rsidR="00E07469">
        <w:t>staff restaurant, coffee shop etc</w:t>
      </w:r>
      <w:r w:rsidR="0051195C">
        <w:t>.</w:t>
      </w:r>
      <w:r w:rsidR="001B7886">
        <w:t xml:space="preserve"> for the duration of their shift.</w:t>
      </w:r>
      <w:r w:rsidR="00726D39">
        <w:t xml:space="preserve"> On a </w:t>
      </w:r>
      <w:r w:rsidR="00B21B3D">
        <w:t>shift by shift</w:t>
      </w:r>
      <w:r w:rsidR="00726D39">
        <w:t xml:space="preserve"> basis staff </w:t>
      </w:r>
      <w:r w:rsidR="00B21B3D">
        <w:t>may be asked</w:t>
      </w:r>
      <w:r w:rsidR="00726D39">
        <w:t xml:space="preserve"> to </w:t>
      </w:r>
      <w:r w:rsidR="00B21B3D">
        <w:t xml:space="preserve">work in </w:t>
      </w:r>
      <w:r w:rsidR="00726D39">
        <w:t>other zones.</w:t>
      </w:r>
    </w:p>
    <w:p w:rsidR="0051195C" w:rsidRDefault="001B7886" w:rsidP="00D101E1">
      <w:pPr>
        <w:jc w:val="both"/>
      </w:pPr>
      <w:r>
        <w:t xml:space="preserve">The staff who will have contact with patients in the Green Zone have been defined </w:t>
      </w:r>
      <w:r w:rsidR="005524B8">
        <w:t>into</w:t>
      </w:r>
      <w:r>
        <w:t xml:space="preserve"> the following two categories;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464BE" w:rsidTr="001B7886">
        <w:tc>
          <w:tcPr>
            <w:tcW w:w="4508" w:type="dxa"/>
            <w:shd w:val="clear" w:color="auto" w:fill="BFBFBF" w:themeFill="background1" w:themeFillShade="BF"/>
          </w:tcPr>
          <w:p w:rsidR="001B7886" w:rsidRDefault="001B7886" w:rsidP="00D101E1">
            <w:pPr>
              <w:jc w:val="both"/>
              <w:rPr>
                <w:b/>
              </w:rPr>
            </w:pPr>
            <w:r>
              <w:rPr>
                <w:b/>
              </w:rPr>
              <w:t>GREEN ZONE</w:t>
            </w:r>
            <w:r w:rsidR="004464BE">
              <w:rPr>
                <w:b/>
              </w:rPr>
              <w:t xml:space="preserve"> BASED STAFF</w:t>
            </w:r>
          </w:p>
          <w:p w:rsidR="004464BE" w:rsidRPr="001B7886" w:rsidRDefault="001B7886" w:rsidP="001B788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t>t</w:t>
            </w:r>
            <w:r w:rsidRPr="001B7886">
              <w:t>hose who will be based in the Green Zone for the duration of their shift)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1B7886" w:rsidRDefault="004464BE" w:rsidP="00D101E1">
            <w:pPr>
              <w:jc w:val="both"/>
              <w:rPr>
                <w:b/>
              </w:rPr>
            </w:pPr>
            <w:r w:rsidRPr="004464BE">
              <w:rPr>
                <w:b/>
              </w:rPr>
              <w:t>VISITING STAFF</w:t>
            </w:r>
            <w:r w:rsidR="001B7886">
              <w:rPr>
                <w:b/>
              </w:rPr>
              <w:t xml:space="preserve"> </w:t>
            </w:r>
          </w:p>
          <w:p w:rsidR="004464BE" w:rsidRPr="001B7886" w:rsidRDefault="001B7886" w:rsidP="001B7886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1B7886">
              <w:t>those who will enter green zone to undertake a procedure</w:t>
            </w:r>
          </w:p>
        </w:tc>
      </w:tr>
      <w:tr w:rsidR="004464BE" w:rsidTr="004464BE">
        <w:tc>
          <w:tcPr>
            <w:tcW w:w="4508" w:type="dxa"/>
          </w:tcPr>
          <w:p w:rsidR="00A01A34" w:rsidRDefault="00A01A34" w:rsidP="00D101E1">
            <w:pPr>
              <w:jc w:val="both"/>
            </w:pPr>
            <w:r>
              <w:t>Medical Staff – Consultants, Registrars, Trainees etc.</w:t>
            </w:r>
          </w:p>
          <w:p w:rsidR="004464BE" w:rsidRDefault="004464BE" w:rsidP="00D101E1">
            <w:pPr>
              <w:jc w:val="both"/>
            </w:pPr>
            <w:r>
              <w:t>Registered Nurses</w:t>
            </w:r>
          </w:p>
          <w:p w:rsidR="000266ED" w:rsidRDefault="000266ED" w:rsidP="00D101E1">
            <w:pPr>
              <w:jc w:val="both"/>
            </w:pPr>
            <w:r>
              <w:t>Operating Department Practitioners</w:t>
            </w:r>
          </w:p>
          <w:p w:rsidR="000266ED" w:rsidRDefault="000266ED" w:rsidP="00D101E1">
            <w:pPr>
              <w:jc w:val="both"/>
            </w:pPr>
            <w:r>
              <w:t>Operating Department Assistants</w:t>
            </w:r>
          </w:p>
          <w:p w:rsidR="00B21B3D" w:rsidRDefault="00B21B3D" w:rsidP="00D101E1">
            <w:pPr>
              <w:jc w:val="both"/>
            </w:pPr>
            <w:r>
              <w:t>Nurse Practitioners</w:t>
            </w:r>
          </w:p>
          <w:p w:rsidR="000266ED" w:rsidRDefault="00471C1B" w:rsidP="00D101E1">
            <w:pPr>
              <w:jc w:val="both"/>
            </w:pPr>
            <w:r>
              <w:t>Theatre Porters</w:t>
            </w:r>
          </w:p>
          <w:p w:rsidR="004464BE" w:rsidRDefault="004464BE" w:rsidP="00D101E1">
            <w:pPr>
              <w:jc w:val="both"/>
            </w:pPr>
            <w:r>
              <w:t>HCSWs</w:t>
            </w:r>
          </w:p>
          <w:p w:rsidR="000266ED" w:rsidRDefault="000266ED" w:rsidP="00D101E1">
            <w:pPr>
              <w:jc w:val="both"/>
            </w:pPr>
            <w:r>
              <w:t>Housekeeping staff</w:t>
            </w:r>
          </w:p>
          <w:p w:rsidR="000266ED" w:rsidRDefault="00471C1B" w:rsidP="00D101E1">
            <w:pPr>
              <w:jc w:val="both"/>
            </w:pPr>
            <w:r>
              <w:t>Ward Based Caterers</w:t>
            </w:r>
          </w:p>
          <w:p w:rsidR="000266ED" w:rsidRDefault="000266ED" w:rsidP="00D101E1">
            <w:pPr>
              <w:jc w:val="both"/>
            </w:pPr>
            <w:r>
              <w:t>Receptionists</w:t>
            </w:r>
          </w:p>
          <w:p w:rsidR="004464BE" w:rsidRDefault="00A01A34" w:rsidP="00D101E1">
            <w:pPr>
              <w:jc w:val="both"/>
            </w:pPr>
            <w:r>
              <w:t>Therapy Staff (excluding SALT)</w:t>
            </w:r>
          </w:p>
        </w:tc>
        <w:tc>
          <w:tcPr>
            <w:tcW w:w="4508" w:type="dxa"/>
          </w:tcPr>
          <w:p w:rsidR="004464BE" w:rsidRDefault="001B7886" w:rsidP="00D101E1">
            <w:pPr>
              <w:jc w:val="both"/>
            </w:pPr>
            <w:r>
              <w:t>Radiographers</w:t>
            </w:r>
          </w:p>
          <w:p w:rsidR="00A01A34" w:rsidRDefault="00A01A34" w:rsidP="00D101E1">
            <w:pPr>
              <w:jc w:val="both"/>
            </w:pPr>
            <w:r>
              <w:t>Speech and Language Therapists</w:t>
            </w:r>
          </w:p>
          <w:p w:rsidR="00A01A34" w:rsidRDefault="00A01A34" w:rsidP="00D101E1">
            <w:pPr>
              <w:jc w:val="both"/>
            </w:pPr>
            <w:r>
              <w:t>ECG Technicians</w:t>
            </w:r>
          </w:p>
          <w:p w:rsidR="00A01A34" w:rsidRDefault="00A01A34" w:rsidP="00D101E1">
            <w:pPr>
              <w:jc w:val="both"/>
            </w:pPr>
            <w:r>
              <w:t>Resuscitation Team</w:t>
            </w:r>
          </w:p>
          <w:p w:rsidR="00B32009" w:rsidRDefault="00B32009" w:rsidP="00D101E1">
            <w:pPr>
              <w:jc w:val="both"/>
            </w:pPr>
            <w:r>
              <w:t>Nutrition Nurses</w:t>
            </w:r>
          </w:p>
          <w:p w:rsidR="00E07469" w:rsidRDefault="007742C8" w:rsidP="00D101E1">
            <w:pPr>
              <w:jc w:val="both"/>
            </w:pPr>
            <w:r>
              <w:t>Clinical Nurse Specialists</w:t>
            </w:r>
          </w:p>
          <w:p w:rsidR="007742C8" w:rsidRDefault="007742C8" w:rsidP="00D101E1">
            <w:pPr>
              <w:jc w:val="both"/>
            </w:pPr>
            <w:r>
              <w:t>Estates/Maintenance Staff</w:t>
            </w:r>
          </w:p>
          <w:p w:rsidR="007742C8" w:rsidRDefault="007742C8" w:rsidP="00D101E1">
            <w:pPr>
              <w:jc w:val="both"/>
            </w:pPr>
          </w:p>
          <w:p w:rsidR="007742C8" w:rsidRDefault="007742C8" w:rsidP="00D101E1">
            <w:pPr>
              <w:jc w:val="both"/>
            </w:pPr>
          </w:p>
          <w:p w:rsidR="00E07469" w:rsidRPr="007742C8" w:rsidRDefault="00E07469" w:rsidP="00D101E1">
            <w:pPr>
              <w:jc w:val="both"/>
              <w:rPr>
                <w:b/>
              </w:rPr>
            </w:pPr>
            <w:r w:rsidRPr="007742C8">
              <w:rPr>
                <w:b/>
              </w:rPr>
              <w:t xml:space="preserve">Deliveries to Green Zone – please see </w:t>
            </w:r>
            <w:r w:rsidR="007742C8">
              <w:rPr>
                <w:b/>
              </w:rPr>
              <w:t>overleaf</w:t>
            </w:r>
          </w:p>
          <w:p w:rsidR="00A01A34" w:rsidRDefault="00A01A34" w:rsidP="00D101E1">
            <w:pPr>
              <w:jc w:val="both"/>
            </w:pPr>
          </w:p>
        </w:tc>
      </w:tr>
    </w:tbl>
    <w:p w:rsidR="001B7886" w:rsidRDefault="00E07469" w:rsidP="00D101E1">
      <w:pPr>
        <w:jc w:val="both"/>
      </w:pPr>
      <w:r>
        <w:t xml:space="preserve">*The above list is not exhaustive </w:t>
      </w:r>
    </w:p>
    <w:p w:rsidR="0051195C" w:rsidRDefault="001B7886" w:rsidP="00D101E1">
      <w:pPr>
        <w:jc w:val="both"/>
      </w:pPr>
      <w:r>
        <w:t xml:space="preserve">To help staff understand the requirements of </w:t>
      </w:r>
      <w:r w:rsidR="007742C8">
        <w:t>them</w:t>
      </w:r>
      <w:r>
        <w:t xml:space="preserve"> when working in the Green Zone, the following guidance has been produced</w:t>
      </w:r>
      <w:r w:rsidR="007742C8">
        <w:t>, each line manager must ensure that all of the staff they are accountable for a</w:t>
      </w:r>
      <w:r w:rsidR="00B21B3D">
        <w:t>re</w:t>
      </w:r>
      <w:r w:rsidR="007742C8">
        <w:t xml:space="preserve"> fully briefed and understand the guidance.</w:t>
      </w:r>
    </w:p>
    <w:p w:rsidR="00056F30" w:rsidRPr="00056F30" w:rsidRDefault="00056F30" w:rsidP="00D101E1">
      <w:pPr>
        <w:jc w:val="both"/>
        <w:rPr>
          <w:b/>
        </w:rPr>
      </w:pPr>
      <w:r>
        <w:rPr>
          <w:b/>
        </w:rPr>
        <w:t>GREEN ZONE BASED STAFF</w:t>
      </w:r>
    </w:p>
    <w:p w:rsidR="005137E0" w:rsidRDefault="005524B8" w:rsidP="00AC00E9">
      <w:pPr>
        <w:pStyle w:val="ListParagraph"/>
        <w:numPr>
          <w:ilvl w:val="0"/>
          <w:numId w:val="1"/>
        </w:numPr>
        <w:jc w:val="both"/>
      </w:pPr>
      <w:r>
        <w:t xml:space="preserve">These </w:t>
      </w:r>
      <w:r w:rsidR="00BB0BA6">
        <w:t>s</w:t>
      </w:r>
      <w:r w:rsidR="0051195C">
        <w:t>taff must work exclusively within a Green Zone</w:t>
      </w:r>
      <w:r w:rsidR="005137E0">
        <w:t xml:space="preserve"> </w:t>
      </w:r>
      <w:r w:rsidR="00BB0BA6">
        <w:t>for the duration of their shift</w:t>
      </w:r>
      <w:r w:rsidR="00AC00E9">
        <w:t>.</w:t>
      </w:r>
    </w:p>
    <w:p w:rsidR="00AC00E9" w:rsidRDefault="00AC00E9" w:rsidP="00AC00E9">
      <w:pPr>
        <w:pStyle w:val="ListParagraph"/>
        <w:jc w:val="both"/>
      </w:pPr>
    </w:p>
    <w:p w:rsidR="00471C1B" w:rsidRDefault="00471C1B" w:rsidP="00471C1B">
      <w:pPr>
        <w:pStyle w:val="ListParagraph"/>
        <w:numPr>
          <w:ilvl w:val="0"/>
          <w:numId w:val="1"/>
        </w:numPr>
        <w:jc w:val="both"/>
      </w:pPr>
      <w:r>
        <w:t>Staff</w:t>
      </w:r>
      <w:r w:rsidR="00581F1E">
        <w:t xml:space="preserve"> m</w:t>
      </w:r>
      <w:r w:rsidR="00AC00E9">
        <w:t xml:space="preserve">ust remain within the Green Zone area for the duration of the shift and </w:t>
      </w:r>
      <w:r>
        <w:t>so would be unable to go to other areas of the hospital e.g. staff restaurant, shop, outside etc.</w:t>
      </w:r>
    </w:p>
    <w:p w:rsidR="00471C1B" w:rsidRDefault="00471C1B" w:rsidP="00471C1B">
      <w:pPr>
        <w:pStyle w:val="ListParagraph"/>
        <w:jc w:val="both"/>
      </w:pPr>
    </w:p>
    <w:p w:rsidR="00AC00E9" w:rsidRDefault="00471C1B" w:rsidP="00AC00E9">
      <w:pPr>
        <w:pStyle w:val="ListParagraph"/>
        <w:numPr>
          <w:ilvl w:val="0"/>
          <w:numId w:val="1"/>
        </w:numPr>
        <w:jc w:val="both"/>
      </w:pPr>
      <w:r>
        <w:t>S</w:t>
      </w:r>
      <w:r w:rsidR="00AC00E9">
        <w:t xml:space="preserve">taff must only use the Green Zone coffee area/rest room for taking breaks. Food and refreshments will be available to purchase in this area and </w:t>
      </w:r>
      <w:r w:rsidR="00B21B3D">
        <w:t xml:space="preserve">staff </w:t>
      </w:r>
      <w:r w:rsidR="00AC00E9">
        <w:t>must not use any other facilities which are outside of the green zone. This will also include WCs.</w:t>
      </w:r>
      <w:r w:rsidR="007742C8">
        <w:t xml:space="preserve"> A microwave and fridge will be provided for staff to use.</w:t>
      </w:r>
    </w:p>
    <w:p w:rsidR="00AC00E9" w:rsidRDefault="00AC00E9" w:rsidP="00AC00E9">
      <w:pPr>
        <w:pStyle w:val="ListParagraph"/>
        <w:jc w:val="both"/>
      </w:pPr>
    </w:p>
    <w:p w:rsidR="005137E0" w:rsidRDefault="005137E0" w:rsidP="005137E0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Staff </w:t>
      </w:r>
      <w:r w:rsidR="00996098" w:rsidRPr="007742C8">
        <w:t>are requested</w:t>
      </w:r>
      <w:r w:rsidR="00996098">
        <w:t xml:space="preserve"> to</w:t>
      </w:r>
      <w:r>
        <w:t xml:space="preserve"> shower</w:t>
      </w:r>
      <w:r w:rsidR="00480089">
        <w:t xml:space="preserve"> but this is not mandatory however all staff</w:t>
      </w:r>
      <w:r>
        <w:t xml:space="preserve"> </w:t>
      </w:r>
      <w:r w:rsidR="007742C8" w:rsidRPr="007742C8">
        <w:rPr>
          <w:b/>
          <w:u w:val="single"/>
        </w:rPr>
        <w:t>MUST</w:t>
      </w:r>
      <w:r w:rsidR="007742C8">
        <w:t xml:space="preserve"> </w:t>
      </w:r>
      <w:r>
        <w:t>change at the designated green zone facilities prior to commencing their shift.</w:t>
      </w:r>
    </w:p>
    <w:p w:rsidR="005137E0" w:rsidRDefault="005137E0" w:rsidP="005137E0">
      <w:pPr>
        <w:pStyle w:val="ListParagraph"/>
      </w:pPr>
    </w:p>
    <w:p w:rsidR="005137E0" w:rsidRDefault="00581F1E" w:rsidP="005137E0">
      <w:pPr>
        <w:pStyle w:val="ListParagraph"/>
        <w:numPr>
          <w:ilvl w:val="0"/>
          <w:numId w:val="1"/>
        </w:numPr>
        <w:jc w:val="both"/>
      </w:pPr>
      <w:r>
        <w:t>Staff m</w:t>
      </w:r>
      <w:r w:rsidR="005137E0">
        <w:t>ust follow all appropriate social distancing guidelines</w:t>
      </w:r>
      <w:r w:rsidR="005B1E22">
        <w:t xml:space="preserve"> both in and</w:t>
      </w:r>
      <w:r w:rsidR="005137E0">
        <w:t xml:space="preserve"> outside of work to minimise the risk of becoming infected.</w:t>
      </w:r>
    </w:p>
    <w:p w:rsidR="005137E0" w:rsidRDefault="005137E0" w:rsidP="005137E0">
      <w:pPr>
        <w:pStyle w:val="ListParagraph"/>
      </w:pPr>
    </w:p>
    <w:p w:rsidR="00232A34" w:rsidRDefault="00581F1E" w:rsidP="00232A34">
      <w:pPr>
        <w:pStyle w:val="ListParagraph"/>
        <w:numPr>
          <w:ilvl w:val="0"/>
          <w:numId w:val="1"/>
        </w:numPr>
        <w:jc w:val="both"/>
      </w:pPr>
      <w:r>
        <w:t>Whilst in work, s</w:t>
      </w:r>
      <w:r w:rsidR="00232A34">
        <w:t>taff must at all times wear the ‘Green Zone’ identification (</w:t>
      </w:r>
      <w:r w:rsidR="00232A34" w:rsidRPr="000C662E">
        <w:t>Badge</w:t>
      </w:r>
      <w:r w:rsidR="005B1E22" w:rsidRPr="000C662E">
        <w:t>/</w:t>
      </w:r>
      <w:r w:rsidR="00232A34" w:rsidRPr="000C662E">
        <w:t>arm band</w:t>
      </w:r>
      <w:r w:rsidR="00376250">
        <w:t xml:space="preserve"> –</w:t>
      </w:r>
      <w:r w:rsidR="000C662E">
        <w:t xml:space="preserve"> where </w:t>
      </w:r>
      <w:r w:rsidR="000C662E" w:rsidRPr="000C662E">
        <w:t>adopted</w:t>
      </w:r>
      <w:r w:rsidR="00376250" w:rsidRPr="000C662E">
        <w:t>)</w:t>
      </w:r>
      <w:r w:rsidR="000C662E">
        <w:t>.</w:t>
      </w:r>
      <w:r w:rsidR="00232A34">
        <w:t xml:space="preserve">  </w:t>
      </w:r>
    </w:p>
    <w:p w:rsidR="00232A34" w:rsidRDefault="00232A34" w:rsidP="00232A34">
      <w:pPr>
        <w:pStyle w:val="ListParagraph"/>
      </w:pPr>
    </w:p>
    <w:p w:rsidR="00232A34" w:rsidRDefault="00232A34" w:rsidP="005137E0">
      <w:pPr>
        <w:pStyle w:val="ListParagraph"/>
        <w:numPr>
          <w:ilvl w:val="0"/>
          <w:numId w:val="1"/>
        </w:numPr>
        <w:jc w:val="both"/>
      </w:pPr>
      <w:r>
        <w:t>Staff must only enter and leave the Green Zone via the indicated route and must not use the other staff entrances through the concourse</w:t>
      </w:r>
      <w:r w:rsidR="00480089">
        <w:t>/main entrance</w:t>
      </w:r>
      <w:r>
        <w:t xml:space="preserve"> etc.</w:t>
      </w:r>
    </w:p>
    <w:p w:rsidR="00ED0235" w:rsidRDefault="00ED0235" w:rsidP="00ED0235">
      <w:pPr>
        <w:pStyle w:val="ListParagraph"/>
      </w:pPr>
    </w:p>
    <w:p w:rsidR="00ED0235" w:rsidRDefault="00ED0235" w:rsidP="005137E0">
      <w:pPr>
        <w:pStyle w:val="ListParagraph"/>
        <w:numPr>
          <w:ilvl w:val="0"/>
          <w:numId w:val="1"/>
        </w:numPr>
        <w:jc w:val="both"/>
      </w:pPr>
      <w:r>
        <w:t>Depending on how the anti-body testing progress</w:t>
      </w:r>
      <w:r w:rsidR="005B1E22">
        <w:t>es</w:t>
      </w:r>
      <w:r>
        <w:t xml:space="preserve"> within the UHB, staff may </w:t>
      </w:r>
      <w:r w:rsidRPr="005B1E22">
        <w:t xml:space="preserve">be </w:t>
      </w:r>
      <w:r w:rsidR="00996098" w:rsidRPr="005B1E22">
        <w:t>offered</w:t>
      </w:r>
      <w:r w:rsidRPr="005B1E22">
        <w:t xml:space="preserve"> this testing at appropriate intervals</w:t>
      </w:r>
      <w:r w:rsidR="00996098" w:rsidRPr="005B1E22">
        <w:t xml:space="preserve"> in accordance with the government advice provided at the time</w:t>
      </w:r>
      <w:r w:rsidRPr="005B1E22">
        <w:t>.</w:t>
      </w:r>
    </w:p>
    <w:p w:rsidR="005B1E22" w:rsidRDefault="005B1E22" w:rsidP="005B1E22">
      <w:pPr>
        <w:pStyle w:val="ListParagraph"/>
      </w:pPr>
    </w:p>
    <w:p w:rsidR="005B1E22" w:rsidRPr="005B1E22" w:rsidRDefault="005B1E22" w:rsidP="005B1E22">
      <w:pPr>
        <w:pStyle w:val="ListParagraph"/>
        <w:numPr>
          <w:ilvl w:val="0"/>
          <w:numId w:val="1"/>
        </w:numPr>
        <w:jc w:val="both"/>
      </w:pPr>
      <w:r>
        <w:t>Staff will be required to wear appropriate PPE to protect patients whilst in the green zone. Further advice on this can be sought from the Ward Sister/Charge Nurse.</w:t>
      </w:r>
    </w:p>
    <w:p w:rsidR="00232A34" w:rsidRDefault="00232A34" w:rsidP="00232A34">
      <w:pPr>
        <w:pStyle w:val="ListParagraph"/>
      </w:pPr>
    </w:p>
    <w:p w:rsidR="00E9078A" w:rsidRDefault="00056F30" w:rsidP="00056F30">
      <w:pPr>
        <w:jc w:val="both"/>
        <w:rPr>
          <w:b/>
        </w:rPr>
      </w:pPr>
      <w:r>
        <w:rPr>
          <w:b/>
        </w:rPr>
        <w:t>VISITING STAFF</w:t>
      </w:r>
    </w:p>
    <w:p w:rsidR="000266ED" w:rsidRPr="000266ED" w:rsidRDefault="000266ED" w:rsidP="00056F30">
      <w:pPr>
        <w:jc w:val="both"/>
      </w:pPr>
      <w:r w:rsidRPr="000266ED">
        <w:t xml:space="preserve">These </w:t>
      </w:r>
      <w:r>
        <w:t xml:space="preserve">staff will only attend the Green Zone to undertake specific procedures with the </w:t>
      </w:r>
      <w:r w:rsidR="00F365F8">
        <w:t>patients e</w:t>
      </w:r>
      <w:r w:rsidR="00471C1B">
        <w:t>.</w:t>
      </w:r>
      <w:r w:rsidR="00F365F8">
        <w:t>g</w:t>
      </w:r>
      <w:r w:rsidR="00471C1B">
        <w:t>.</w:t>
      </w:r>
      <w:r w:rsidR="00F365F8">
        <w:t xml:space="preserve"> for radiography, ECGs, Speech and </w:t>
      </w:r>
      <w:r w:rsidR="00B21B3D">
        <w:t>L</w:t>
      </w:r>
      <w:r w:rsidR="00F365F8">
        <w:t>anguage therapy etc.</w:t>
      </w:r>
      <w:r w:rsidR="005B1E22">
        <w:t xml:space="preserve"> Where possible, it is good practice to attend the green zone at the beginning of the shift if only one visit is required.</w:t>
      </w:r>
    </w:p>
    <w:p w:rsidR="00AC00E9" w:rsidRDefault="000266ED" w:rsidP="000266ED">
      <w:pPr>
        <w:pStyle w:val="ListParagraph"/>
        <w:numPr>
          <w:ilvl w:val="0"/>
          <w:numId w:val="4"/>
        </w:numPr>
        <w:jc w:val="both"/>
      </w:pPr>
      <w:r>
        <w:t>Visiting staff must only enter the green zone if they have</w:t>
      </w:r>
      <w:r w:rsidR="00F365F8">
        <w:t xml:space="preserve"> changed into clean uniform or scrubs for the duration of their time in the green zone and have decontaminated their hands.</w:t>
      </w:r>
    </w:p>
    <w:p w:rsidR="00581F1E" w:rsidRDefault="00581F1E" w:rsidP="00581F1E">
      <w:pPr>
        <w:pStyle w:val="ListParagraph"/>
        <w:jc w:val="both"/>
      </w:pPr>
    </w:p>
    <w:p w:rsidR="002416D5" w:rsidRDefault="00F365F8" w:rsidP="002416D5">
      <w:pPr>
        <w:pStyle w:val="ListParagraph"/>
        <w:numPr>
          <w:ilvl w:val="0"/>
          <w:numId w:val="4"/>
        </w:numPr>
        <w:jc w:val="both"/>
      </w:pPr>
      <w:r>
        <w:t>The PPE guidance does not state that showering and washing hair is mandatory and so staff will not be mandated to do this</w:t>
      </w:r>
      <w:r w:rsidR="005B1E22">
        <w:t xml:space="preserve"> however, facilities for the green zone are available if staff wish to do so.</w:t>
      </w:r>
    </w:p>
    <w:p w:rsidR="00F365F8" w:rsidRDefault="00F365F8" w:rsidP="00F365F8">
      <w:pPr>
        <w:pStyle w:val="ListParagraph"/>
      </w:pPr>
    </w:p>
    <w:p w:rsidR="00F365F8" w:rsidRDefault="005B1E22" w:rsidP="002416D5">
      <w:pPr>
        <w:pStyle w:val="ListParagraph"/>
        <w:numPr>
          <w:ilvl w:val="0"/>
          <w:numId w:val="4"/>
        </w:numPr>
        <w:jc w:val="both"/>
      </w:pPr>
      <w:r>
        <w:t>Whilst working on the green zone, staff will be expected to wear appropriate PPE to protect patients. Further advice can be sought from the Ward Sister/Charge Nurse.</w:t>
      </w:r>
    </w:p>
    <w:p w:rsidR="00330480" w:rsidRDefault="00330480" w:rsidP="00D101E1">
      <w:pPr>
        <w:jc w:val="both"/>
      </w:pPr>
    </w:p>
    <w:p w:rsidR="00471C1B" w:rsidRDefault="00471C1B" w:rsidP="00D101E1">
      <w:pPr>
        <w:jc w:val="both"/>
        <w:rPr>
          <w:b/>
        </w:rPr>
      </w:pPr>
      <w:r>
        <w:rPr>
          <w:b/>
        </w:rPr>
        <w:t>D</w:t>
      </w:r>
      <w:r w:rsidR="00E07469">
        <w:rPr>
          <w:b/>
        </w:rPr>
        <w:t>ELIVERIES TO THE GREEN ZONE</w:t>
      </w:r>
    </w:p>
    <w:p w:rsidR="00471C1B" w:rsidRDefault="00471C1B" w:rsidP="00D101E1">
      <w:pPr>
        <w:jc w:val="both"/>
      </w:pPr>
      <w:r>
        <w:t xml:space="preserve">All deliveries including post, </w:t>
      </w:r>
      <w:r w:rsidR="00043A12">
        <w:t xml:space="preserve">linen, food, equipment must be delivered to the entrance of the green zone. The individual making the delivery </w:t>
      </w:r>
      <w:r w:rsidR="00043A12">
        <w:rPr>
          <w:u w:val="single"/>
        </w:rPr>
        <w:t>must not enter the green zone</w:t>
      </w:r>
      <w:r w:rsidR="00043A12">
        <w:t xml:space="preserve"> but should ring the call bell to alert the Green Zone Porter to move the goods into the department.</w:t>
      </w:r>
    </w:p>
    <w:p w:rsidR="00043A12" w:rsidRDefault="00043A12" w:rsidP="00D101E1">
      <w:pPr>
        <w:jc w:val="both"/>
      </w:pPr>
      <w:r>
        <w:t>Security Staff will attend urgent calls and fire within the green zone. In these circumstances it would not be feasible for them to change into clean uniforms or scrubs.</w:t>
      </w:r>
    </w:p>
    <w:p w:rsidR="005B1E22" w:rsidRDefault="005B1E22" w:rsidP="00D101E1">
      <w:pPr>
        <w:jc w:val="both"/>
      </w:pPr>
    </w:p>
    <w:p w:rsidR="005B1E22" w:rsidRPr="00043A12" w:rsidRDefault="000C662E" w:rsidP="00D101E1">
      <w:pPr>
        <w:jc w:val="both"/>
      </w:pPr>
      <w:r>
        <w:t xml:space="preserve">Final </w:t>
      </w:r>
      <w:r w:rsidR="005B1E22">
        <w:t xml:space="preserve">Version  </w:t>
      </w:r>
      <w:r w:rsidR="00AD3859">
        <w:t>–</w:t>
      </w:r>
      <w:r w:rsidR="005B1E22">
        <w:t xml:space="preserve"> </w:t>
      </w:r>
      <w:r w:rsidR="00AD3859">
        <w:t>0</w:t>
      </w:r>
      <w:r>
        <w:t>8</w:t>
      </w:r>
      <w:bookmarkStart w:id="0" w:name="_GoBack"/>
      <w:bookmarkEnd w:id="0"/>
      <w:r w:rsidR="00AD3859">
        <w:t>/06</w:t>
      </w:r>
      <w:r w:rsidR="005B1E22">
        <w:t>/20</w:t>
      </w:r>
    </w:p>
    <w:sectPr w:rsidR="005B1E22" w:rsidRPr="00043A12" w:rsidSect="00AD3859">
      <w:headerReference w:type="default" r:id="rId7"/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1B" w:rsidRDefault="00F3781B" w:rsidP="009A1494">
      <w:pPr>
        <w:spacing w:after="0" w:line="240" w:lineRule="auto"/>
      </w:pPr>
      <w:r>
        <w:separator/>
      </w:r>
    </w:p>
  </w:endnote>
  <w:endnote w:type="continuationSeparator" w:id="0">
    <w:p w:rsidR="00F3781B" w:rsidRDefault="00F3781B" w:rsidP="009A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1B" w:rsidRDefault="00F3781B" w:rsidP="009A1494">
      <w:pPr>
        <w:spacing w:after="0" w:line="240" w:lineRule="auto"/>
      </w:pPr>
      <w:r>
        <w:separator/>
      </w:r>
    </w:p>
  </w:footnote>
  <w:footnote w:type="continuationSeparator" w:id="0">
    <w:p w:rsidR="00F3781B" w:rsidRDefault="00F3781B" w:rsidP="009A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94" w:rsidRDefault="009A1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741"/>
    <w:multiLevelType w:val="hybridMultilevel"/>
    <w:tmpl w:val="4B66D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5356"/>
    <w:multiLevelType w:val="hybridMultilevel"/>
    <w:tmpl w:val="6DDAE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1D80"/>
    <w:multiLevelType w:val="hybridMultilevel"/>
    <w:tmpl w:val="3B360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53B"/>
    <w:multiLevelType w:val="hybridMultilevel"/>
    <w:tmpl w:val="4EB6FEE2"/>
    <w:lvl w:ilvl="0" w:tplc="481E06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0"/>
    <w:rsid w:val="000266ED"/>
    <w:rsid w:val="000348DE"/>
    <w:rsid w:val="00043A12"/>
    <w:rsid w:val="00056F30"/>
    <w:rsid w:val="000C662E"/>
    <w:rsid w:val="001B7886"/>
    <w:rsid w:val="00213149"/>
    <w:rsid w:val="00232A34"/>
    <w:rsid w:val="002416D5"/>
    <w:rsid w:val="00330480"/>
    <w:rsid w:val="00376250"/>
    <w:rsid w:val="003F6878"/>
    <w:rsid w:val="004464BE"/>
    <w:rsid w:val="00471C1B"/>
    <w:rsid w:val="00480089"/>
    <w:rsid w:val="0051195C"/>
    <w:rsid w:val="005137E0"/>
    <w:rsid w:val="005524B8"/>
    <w:rsid w:val="00581F1E"/>
    <w:rsid w:val="005B1E22"/>
    <w:rsid w:val="00726D39"/>
    <w:rsid w:val="00743B84"/>
    <w:rsid w:val="007742C8"/>
    <w:rsid w:val="008435C1"/>
    <w:rsid w:val="00957910"/>
    <w:rsid w:val="00996098"/>
    <w:rsid w:val="009A1494"/>
    <w:rsid w:val="00A01A34"/>
    <w:rsid w:val="00A622C6"/>
    <w:rsid w:val="00A9027B"/>
    <w:rsid w:val="00AC00E9"/>
    <w:rsid w:val="00AD3859"/>
    <w:rsid w:val="00B21B3D"/>
    <w:rsid w:val="00B32009"/>
    <w:rsid w:val="00BB0BA6"/>
    <w:rsid w:val="00BF7CF9"/>
    <w:rsid w:val="00D0266E"/>
    <w:rsid w:val="00D101E1"/>
    <w:rsid w:val="00DC6455"/>
    <w:rsid w:val="00E07469"/>
    <w:rsid w:val="00E9078A"/>
    <w:rsid w:val="00EA1E0B"/>
    <w:rsid w:val="00ED0235"/>
    <w:rsid w:val="00F365F8"/>
    <w:rsid w:val="00F3781B"/>
    <w:rsid w:val="00F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BF3C43-7FE4-4BC6-9B77-90EFA4C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94"/>
  </w:style>
  <w:style w:type="paragraph" w:styleId="Footer">
    <w:name w:val="footer"/>
    <w:basedOn w:val="Normal"/>
    <w:link w:val="FooterChar"/>
    <w:uiPriority w:val="99"/>
    <w:unhideWhenUsed/>
    <w:rsid w:val="009A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CardiffandVale UHB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Pritchard (Cardiff and Vale UHB - Human Resources)</dc:creator>
  <cp:keywords/>
  <dc:description/>
  <cp:lastModifiedBy>Jonathan Pritchard (Cardiff and Vale UHB - Human Resources)</cp:lastModifiedBy>
  <cp:revision>2</cp:revision>
  <cp:lastPrinted>2020-06-09T08:33:00Z</cp:lastPrinted>
  <dcterms:created xsi:type="dcterms:W3CDTF">2020-06-09T11:55:00Z</dcterms:created>
  <dcterms:modified xsi:type="dcterms:W3CDTF">2020-06-09T11:55:00Z</dcterms:modified>
</cp:coreProperties>
</file>